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 w:hAnsi="仿宋" w:eastAsia="仿宋"/>
          <w:b/>
          <w:bCs/>
          <w:sz w:val="32"/>
          <w:szCs w:val="32"/>
          <w:highlight w:val="none"/>
          <w:lang w:val="en-US" w:eastAsia="zh-CN"/>
        </w:rPr>
      </w:pPr>
      <w:bookmarkStart w:id="2" w:name="_GoBack"/>
      <w:bookmarkEnd w:id="2"/>
      <w:r>
        <w:rPr>
          <w:rFonts w:hint="eastAsia" w:ascii="仿宋" w:hAnsi="仿宋" w:eastAsia="仿宋"/>
          <w:b/>
          <w:bCs/>
          <w:sz w:val="32"/>
          <w:szCs w:val="32"/>
          <w:highlight w:val="none"/>
          <w:lang w:val="en-US" w:eastAsia="zh-CN"/>
        </w:rPr>
        <w:t>附件：</w:t>
      </w:r>
    </w:p>
    <w:p>
      <w:pPr>
        <w:spacing w:line="360" w:lineRule="auto"/>
        <w:jc w:val="center"/>
        <w:rPr>
          <w:rFonts w:ascii="宋体" w:hAnsi="宋体" w:eastAsia="宋体"/>
          <w:b/>
          <w:bCs/>
          <w:sz w:val="32"/>
          <w:szCs w:val="32"/>
          <w:highlight w:val="none"/>
        </w:rPr>
      </w:pPr>
      <w:r>
        <w:rPr>
          <w:rFonts w:hint="eastAsia" w:ascii="宋体" w:hAnsi="宋体" w:eastAsia="宋体"/>
          <w:b/>
          <w:bCs/>
          <w:sz w:val="32"/>
          <w:szCs w:val="32"/>
          <w:highlight w:val="none"/>
        </w:rPr>
        <w:t>广州南洋英文学校</w:t>
      </w:r>
      <w:r>
        <w:rPr>
          <w:rFonts w:ascii="宋体" w:hAnsi="宋体" w:eastAsia="宋体"/>
          <w:b/>
          <w:bCs/>
          <w:sz w:val="32"/>
          <w:szCs w:val="32"/>
          <w:highlight w:val="none"/>
        </w:rPr>
        <w:t>重整投资协议</w:t>
      </w:r>
      <w:r>
        <w:rPr>
          <w:rFonts w:hint="eastAsia" w:ascii="宋体" w:hAnsi="宋体" w:eastAsia="宋体"/>
          <w:b/>
          <w:bCs/>
          <w:sz w:val="32"/>
          <w:szCs w:val="32"/>
          <w:highlight w:val="none"/>
        </w:rPr>
        <w:t>（草案）</w:t>
      </w:r>
    </w:p>
    <w:p>
      <w:pPr>
        <w:spacing w:line="360" w:lineRule="auto"/>
        <w:rPr>
          <w:rFonts w:ascii="仿宋" w:hAnsi="仿宋" w:eastAsia="仿宋"/>
          <w:sz w:val="30"/>
          <w:szCs w:val="30"/>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 xml:space="preserve"> 本协议</w:t>
      </w:r>
      <w:r>
        <w:rPr>
          <w:rFonts w:hint="eastAsia" w:ascii="仿宋" w:hAnsi="仿宋" w:eastAsia="仿宋" w:cs="仿宋"/>
          <w:sz w:val="28"/>
          <w:szCs w:val="28"/>
          <w:highlight w:val="none"/>
        </w:rPr>
        <w:t>于【】年【】月【】日由以下各方共同订立：</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甲方</w:t>
      </w:r>
      <w:r>
        <w:rPr>
          <w:rFonts w:hint="eastAsia" w:ascii="仿宋" w:hAnsi="仿宋" w:eastAsia="仿宋" w:cs="仿宋"/>
          <w:sz w:val="28"/>
          <w:szCs w:val="28"/>
          <w:highlight w:val="none"/>
        </w:rPr>
        <w:t xml:space="preserve">：广州南洋英文学校管理人   </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乙方</w:t>
      </w:r>
      <w:r>
        <w:rPr>
          <w:rFonts w:hint="eastAsia" w:ascii="仿宋" w:hAnsi="仿宋" w:eastAsia="仿宋" w:cs="仿宋"/>
          <w:sz w:val="28"/>
          <w:szCs w:val="28"/>
          <w:highlight w:val="none"/>
        </w:rPr>
        <w:t>：【重整投资人】</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（本协议中，广州南洋英文学校称南洋学校；广州南洋英文学校管理人称南洋学校管理人或甲方；【重整投资人】称【】或乙方。）</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鉴于</w:t>
      </w:r>
      <w:r>
        <w:rPr>
          <w:rFonts w:hint="eastAsia" w:ascii="仿宋" w:hAnsi="仿宋" w:eastAsia="仿宋" w:cs="仿宋"/>
          <w:sz w:val="28"/>
          <w:szCs w:val="28"/>
          <w:highlight w:val="none"/>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2022年</w:t>
      </w:r>
      <w:r>
        <w:rPr>
          <w:rFonts w:hint="eastAsia" w:ascii="仿宋" w:hAnsi="仿宋" w:eastAsia="仿宋" w:cs="仿宋"/>
          <w:sz w:val="28"/>
          <w:szCs w:val="28"/>
          <w:highlight w:val="none"/>
        </w:rPr>
        <w:t>5月</w:t>
      </w:r>
      <w:r>
        <w:rPr>
          <w:rFonts w:hint="eastAsia" w:ascii="仿宋" w:hAnsi="仿宋" w:eastAsia="仿宋" w:cs="仿宋"/>
          <w:sz w:val="28"/>
          <w:szCs w:val="28"/>
          <w:highlight w:val="none"/>
        </w:rPr>
        <w:t>20日</w:t>
      </w:r>
      <w:r>
        <w:rPr>
          <w:rFonts w:hint="eastAsia" w:ascii="仿宋" w:hAnsi="仿宋" w:eastAsia="仿宋" w:cs="仿宋"/>
          <w:sz w:val="28"/>
          <w:szCs w:val="28"/>
          <w:highlight w:val="none"/>
        </w:rPr>
        <w:t>，广东省高级人民法院裁定指令广州市中级人民法院受理南洋学校重整</w:t>
      </w:r>
      <w:r>
        <w:rPr>
          <w:rFonts w:hint="eastAsia" w:ascii="仿宋" w:hAnsi="仿宋" w:eastAsia="仿宋" w:cs="仿宋"/>
          <w:sz w:val="28"/>
          <w:szCs w:val="28"/>
          <w:highlight w:val="none"/>
        </w:rPr>
        <w:t>案，</w:t>
      </w:r>
      <w:r>
        <w:rPr>
          <w:rFonts w:hint="eastAsia" w:ascii="仿宋" w:hAnsi="仿宋" w:eastAsia="仿宋" w:cs="仿宋"/>
          <w:sz w:val="28"/>
          <w:szCs w:val="28"/>
          <w:highlight w:val="none"/>
        </w:rPr>
        <w:t>广州市中级人民法院于2022年</w:t>
      </w:r>
      <w:r>
        <w:rPr>
          <w:rFonts w:hint="eastAsia" w:ascii="仿宋" w:hAnsi="仿宋" w:eastAsia="仿宋" w:cs="仿宋"/>
          <w:sz w:val="28"/>
          <w:szCs w:val="28"/>
          <w:highlight w:val="none"/>
        </w:rPr>
        <w:t>9月</w:t>
      </w:r>
      <w:r>
        <w:rPr>
          <w:rFonts w:hint="eastAsia" w:ascii="仿宋" w:hAnsi="仿宋" w:eastAsia="仿宋" w:cs="仿宋"/>
          <w:sz w:val="28"/>
          <w:szCs w:val="28"/>
          <w:highlight w:val="none"/>
        </w:rPr>
        <w:t>30日指定国信信扬律师事务所担任</w:t>
      </w:r>
      <w:r>
        <w:rPr>
          <w:rFonts w:hint="eastAsia" w:ascii="仿宋" w:hAnsi="仿宋" w:eastAsia="仿宋" w:cs="仿宋"/>
          <w:sz w:val="28"/>
          <w:szCs w:val="28"/>
          <w:highlight w:val="none"/>
        </w:rPr>
        <w:t>南洋学校管理人。</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乙方是依照中华人民共和国法律设立的有限公司/股份有限公司，其股东为【】，股权结构为【】，主营：【】</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根据由南洋学校管理人、广州南英教育发展有限公司管理人共同发布的《广州南洋学校、广州南英教育发展有限公司重整投资人联合招募公告》（以下简称招募公告）、《广州南洋学校、广州南英教育发展有限公司拟制合并重整投资权益竞价公告》（以下简称竞价公告），两案管理人通过网络</w:t>
      </w:r>
      <w:r>
        <w:rPr>
          <w:rFonts w:hint="eastAsia" w:ascii="仿宋" w:hAnsi="仿宋" w:eastAsia="仿宋" w:cs="仿宋"/>
          <w:sz w:val="28"/>
          <w:szCs w:val="28"/>
          <w:highlight w:val="none"/>
          <w:lang w:val="en-US" w:eastAsia="zh-CN"/>
        </w:rPr>
        <w:t>拍卖</w:t>
      </w:r>
      <w:r>
        <w:rPr>
          <w:rFonts w:hint="eastAsia" w:ascii="仿宋" w:hAnsi="仿宋" w:eastAsia="仿宋" w:cs="仿宋"/>
          <w:sz w:val="28"/>
          <w:szCs w:val="28"/>
          <w:highlight w:val="none"/>
        </w:rPr>
        <w:t>平台以竞价方式公开招募重整投资人。经公开竞价，乙方对南洋学校、广州南英教育发展有限公司拟制合并的重整投资权益报价为【】元，为参与竞价者中的最高报价。</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各方共同确认、同意</w:t>
      </w:r>
      <w:r>
        <w:rPr>
          <w:rFonts w:hint="eastAsia" w:ascii="仿宋" w:hAnsi="仿宋" w:eastAsia="仿宋" w:cs="仿宋"/>
          <w:sz w:val="28"/>
          <w:szCs w:val="28"/>
          <w:highlight w:val="none"/>
        </w:rPr>
        <w:t>如下：</w:t>
      </w:r>
    </w:p>
    <w:p>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一、重整投资人资格</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乙方是南洋学校的重整投资人。</w:t>
      </w:r>
    </w:p>
    <w:p>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二、履约保证金</w:t>
      </w:r>
    </w:p>
    <w:p>
      <w:pPr>
        <w:spacing w:line="360" w:lineRule="auto"/>
        <w:ind w:firstLine="560"/>
        <w:rPr>
          <w:rFonts w:hint="eastAsia" w:ascii="仿宋" w:hAnsi="仿宋" w:eastAsia="仿宋" w:cs="仿宋"/>
          <w:strike/>
          <w:dstrike w:val="0"/>
          <w:kern w:val="0"/>
          <w:sz w:val="28"/>
          <w:szCs w:val="28"/>
          <w:highlight w:val="none"/>
          <w:lang w:eastAsia="zh-CN"/>
        </w:rPr>
      </w:pPr>
      <w:r>
        <w:rPr>
          <w:rFonts w:hint="eastAsia" w:ascii="仿宋" w:hAnsi="仿宋" w:eastAsia="仿宋" w:cs="仿宋"/>
          <w:sz w:val="28"/>
          <w:szCs w:val="28"/>
          <w:highlight w:val="none"/>
        </w:rPr>
        <w:t>本协议签订时，乙方需向甲方缴纳2500万元的重整投资履约保证金。</w:t>
      </w:r>
      <w:r>
        <w:rPr>
          <w:rFonts w:hint="eastAsia" w:ascii="仿宋" w:hAnsi="仿宋" w:eastAsia="仿宋" w:cs="仿宋"/>
          <w:color w:val="222222"/>
          <w:spacing w:val="8"/>
          <w:kern w:val="0"/>
          <w:sz w:val="28"/>
          <w:szCs w:val="28"/>
          <w:highlight w:val="none"/>
        </w:rPr>
        <w:t>乙方已缴纳的竞价保证金2500万元自动转为同等金额的履约保证金</w:t>
      </w:r>
      <w:r>
        <w:rPr>
          <w:rFonts w:hint="eastAsia" w:ascii="仿宋" w:hAnsi="仿宋" w:eastAsia="仿宋" w:cs="仿宋"/>
          <w:color w:val="222222"/>
          <w:spacing w:val="8"/>
          <w:kern w:val="0"/>
          <w:sz w:val="28"/>
          <w:szCs w:val="28"/>
          <w:highlight w:val="none"/>
          <w:lang w:eastAsia="zh-CN"/>
        </w:rPr>
        <w:t>。</w:t>
      </w:r>
    </w:p>
    <w:p>
      <w:pPr>
        <w:spacing w:line="360" w:lineRule="auto"/>
        <w:ind w:firstLine="594" w:firstLineChars="200"/>
        <w:rPr>
          <w:rFonts w:hint="eastAsia" w:ascii="仿宋" w:hAnsi="仿宋" w:eastAsia="仿宋" w:cs="仿宋"/>
          <w:b/>
          <w:bCs/>
          <w:color w:val="222222"/>
          <w:spacing w:val="8"/>
          <w:kern w:val="0"/>
          <w:sz w:val="28"/>
          <w:szCs w:val="28"/>
          <w:highlight w:val="none"/>
        </w:rPr>
      </w:pPr>
      <w:r>
        <w:rPr>
          <w:rFonts w:hint="eastAsia" w:ascii="仿宋" w:hAnsi="仿宋" w:eastAsia="仿宋" w:cs="仿宋"/>
          <w:b/>
          <w:bCs/>
          <w:color w:val="222222"/>
          <w:spacing w:val="8"/>
          <w:kern w:val="0"/>
          <w:sz w:val="28"/>
          <w:szCs w:val="28"/>
          <w:highlight w:val="none"/>
        </w:rPr>
        <w:t>三、偿债资金</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乙方对南洋学校、广州南英教育发展有限公司拟制合并的重整投资权益报价为【】元。其中，属于南洋学校的重整投资权益为【】元。</w:t>
      </w:r>
    </w:p>
    <w:p>
      <w:pPr>
        <w:widowControl/>
        <w:shd w:val="clear" w:color="auto" w:fill="FFFFFF"/>
        <w:spacing w:line="360" w:lineRule="auto"/>
        <w:ind w:firstLine="592" w:firstLineChars="200"/>
        <w:rPr>
          <w:rFonts w:hint="eastAsia" w:ascii="仿宋" w:hAnsi="仿宋" w:eastAsia="仿宋" w:cs="仿宋"/>
          <w:spacing w:val="8"/>
          <w:kern w:val="0"/>
          <w:sz w:val="28"/>
          <w:szCs w:val="28"/>
          <w:highlight w:val="none"/>
        </w:rPr>
      </w:pPr>
      <w:r>
        <w:rPr>
          <w:rFonts w:hint="eastAsia" w:ascii="仿宋" w:hAnsi="仿宋" w:eastAsia="仿宋" w:cs="仿宋"/>
          <w:spacing w:val="8"/>
          <w:kern w:val="0"/>
          <w:sz w:val="28"/>
          <w:szCs w:val="28"/>
          <w:highlight w:val="none"/>
        </w:rPr>
        <w:t>在人民法院裁定批准重整计划后15日内，乙方须足额提供相当于南洋学校重整投资权益等额的人民币现金【】元作为偿债资金，用于清偿南洋学校的破产费用、共益债务和破产债权。乙方分期支付的，应当在人民法院裁定批准重整计划后15日内支付完毕</w:t>
      </w:r>
      <w:r>
        <w:rPr>
          <w:rFonts w:hint="eastAsia" w:ascii="仿宋" w:hAnsi="仿宋" w:eastAsia="仿宋" w:cs="仿宋"/>
          <w:spacing w:val="8"/>
          <w:kern w:val="0"/>
          <w:sz w:val="28"/>
          <w:szCs w:val="28"/>
          <w:highlight w:val="none"/>
          <w:lang w:eastAsia="zh-CN"/>
        </w:rPr>
        <w:t>，</w:t>
      </w:r>
      <w:r>
        <w:rPr>
          <w:rFonts w:hint="eastAsia" w:ascii="仿宋" w:hAnsi="仿宋" w:eastAsia="仿宋" w:cs="仿宋"/>
          <w:spacing w:val="8"/>
          <w:kern w:val="0"/>
          <w:sz w:val="28"/>
          <w:szCs w:val="28"/>
          <w:highlight w:val="none"/>
        </w:rPr>
        <w:t>其支付的履约保证金应作为最后一期的偿债资金。偿债资金的收款账户与履约保证金收款账户一致。</w:t>
      </w:r>
    </w:p>
    <w:p>
      <w:pPr>
        <w:widowControl/>
        <w:shd w:val="clear" w:color="auto" w:fill="FFFFFF"/>
        <w:spacing w:line="360" w:lineRule="auto"/>
        <w:ind w:firstLine="592" w:firstLineChars="200"/>
        <w:rPr>
          <w:rFonts w:hint="eastAsia" w:ascii="仿宋" w:hAnsi="仿宋" w:eastAsia="仿宋" w:cs="仿宋"/>
          <w:spacing w:val="8"/>
          <w:kern w:val="0"/>
          <w:sz w:val="28"/>
          <w:szCs w:val="28"/>
          <w:highlight w:val="none"/>
        </w:rPr>
      </w:pPr>
      <w:r>
        <w:rPr>
          <w:rFonts w:hint="eastAsia" w:ascii="仿宋" w:hAnsi="仿宋" w:eastAsia="仿宋" w:cs="仿宋"/>
          <w:spacing w:val="8"/>
          <w:kern w:val="0"/>
          <w:sz w:val="28"/>
          <w:szCs w:val="28"/>
          <w:highlight w:val="none"/>
        </w:rPr>
        <w:t>偿债资金的用途不包括根据办学需要，乙方对南洋学校进行升级改造等进行的后续投资或捐助/借款。前述所需费用及计划安排等，根据本协议第五、（一）条约定在乙方提供给甲方的资料中予以披露及说明，并由乙方在完成对南洋学校的接管后，视南洋学校发展需要予以落实。</w:t>
      </w:r>
    </w:p>
    <w:p>
      <w:pPr>
        <w:widowControl/>
        <w:shd w:val="clear" w:color="auto" w:fill="FFFFFF"/>
        <w:spacing w:line="360" w:lineRule="auto"/>
        <w:ind w:firstLine="560" w:firstLineChars="200"/>
        <w:rPr>
          <w:rFonts w:hint="eastAsia" w:ascii="仿宋" w:hAnsi="仿宋" w:eastAsia="仿宋" w:cs="仿宋"/>
          <w:spacing w:val="8"/>
          <w:kern w:val="0"/>
          <w:sz w:val="28"/>
          <w:szCs w:val="28"/>
          <w:highlight w:val="none"/>
        </w:rPr>
      </w:pPr>
      <w:r>
        <w:rPr>
          <w:rFonts w:hint="eastAsia" w:ascii="仿宋" w:hAnsi="仿宋" w:eastAsia="仿宋" w:cs="仿宋"/>
          <w:color w:val="000000"/>
          <w:sz w:val="28"/>
          <w:szCs w:val="28"/>
          <w:highlight w:val="none"/>
          <w:shd w:val="clear" w:color="auto" w:fill="FFFFFF"/>
        </w:rPr>
        <w:t>除债权人会议决议同意的以外，偿债资金不用于清偿重整计划提交人民法院批准时尚未申报的债权（如有）。重整计划提交人民法院批准时尚未申报债权的债权人，在重整计划执行期间不得行使权利；在重整计划执行完毕后，可以按照重整计划规定的同类债权的清偿条件行使权利。</w:t>
      </w:r>
    </w:p>
    <w:p>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四、乙方的声明与承诺</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（一）乙方及其控股股东及实际控制人符合《中华人民共和国民办教育促进法》及其实施条例等相关规定，具备设立、举办实施义务教育民办学校的主体资格。</w:t>
      </w:r>
    </w:p>
    <w:p>
      <w:pPr>
        <w:spacing w:line="360" w:lineRule="auto"/>
        <w:ind w:firstLine="560"/>
        <w:rPr>
          <w:rFonts w:hint="eastAsia" w:ascii="仿宋" w:hAnsi="仿宋" w:eastAsia="仿宋" w:cs="仿宋"/>
          <w:kern w:val="0"/>
          <w:sz w:val="28"/>
          <w:szCs w:val="28"/>
          <w:highlight w:val="none"/>
        </w:rPr>
      </w:pPr>
      <w:r>
        <w:rPr>
          <w:rFonts w:hint="eastAsia" w:ascii="仿宋" w:hAnsi="仿宋" w:eastAsia="仿宋" w:cs="仿宋"/>
          <w:sz w:val="28"/>
          <w:szCs w:val="28"/>
          <w:highlight w:val="none"/>
        </w:rPr>
        <w:t>（二）乙方是</w:t>
      </w:r>
      <w:r>
        <w:rPr>
          <w:rFonts w:hint="eastAsia" w:ascii="仿宋" w:hAnsi="仿宋" w:eastAsia="仿宋" w:cs="仿宋"/>
          <w:kern w:val="0"/>
          <w:sz w:val="28"/>
          <w:szCs w:val="28"/>
          <w:highlight w:val="none"/>
        </w:rPr>
        <w:t>依据中华人民共和国法律设立并有效存续的法人，信用状况良好，最近三年无重大违法行为、未被纳入失信被执行人名单、未负有到期未清偿的大额债务。</w:t>
      </w:r>
    </w:p>
    <w:p>
      <w:pPr>
        <w:spacing w:line="360" w:lineRule="auto"/>
        <w:ind w:firstLine="56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（三）乙方拥有同时重整南洋学校、广州南英教育发展有限公司的足够的资金实力，有能力并确保根据本协议、南洋学校重整计划的规定履行重整投资人的责任和义务。</w:t>
      </w:r>
    </w:p>
    <w:p>
      <w:pPr>
        <w:spacing w:line="360" w:lineRule="auto"/>
        <w:ind w:firstLine="56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（四）乙方拥有或已获得全部必须的权利、批准和授权，并已完成全部必须的其内部程序，以签订本协议并全面履行其在本协议及南洋学校重整计划中的重整投资人的责任、义务。</w:t>
      </w:r>
    </w:p>
    <w:p>
      <w:pPr>
        <w:spacing w:line="360" w:lineRule="auto"/>
        <w:ind w:firstLine="56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（五）乙方因签署本协议需向甲方提供的任何资料、文件均是真实、有效的，且不会构成误导。</w:t>
      </w:r>
    </w:p>
    <w:p>
      <w:pPr>
        <w:spacing w:line="360" w:lineRule="auto"/>
        <w:ind w:firstLine="560"/>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五、重整计划草案的编制</w:t>
      </w:r>
    </w:p>
    <w:p>
      <w:pPr>
        <w:widowControl/>
        <w:shd w:val="clear" w:color="auto" w:fill="FFFFFF"/>
        <w:spacing w:line="360" w:lineRule="auto"/>
        <w:ind w:firstLine="560" w:firstLineChars="200"/>
        <w:rPr>
          <w:rFonts w:hint="eastAsia" w:ascii="仿宋" w:hAnsi="仿宋" w:eastAsia="仿宋" w:cs="仿宋"/>
          <w:color w:val="222222"/>
          <w:spacing w:val="8"/>
          <w:kern w:val="0"/>
          <w:sz w:val="28"/>
          <w:szCs w:val="28"/>
          <w:highlight w:val="none"/>
        </w:rPr>
      </w:pPr>
      <w:r>
        <w:rPr>
          <w:rFonts w:hint="eastAsia" w:ascii="仿宋" w:hAnsi="仿宋" w:eastAsia="仿宋" w:cs="仿宋"/>
          <w:kern w:val="0"/>
          <w:sz w:val="28"/>
          <w:szCs w:val="28"/>
          <w:highlight w:val="none"/>
        </w:rPr>
        <w:t>（一）</w:t>
      </w:r>
      <w:bookmarkStart w:id="0" w:name="_Hlk119801763"/>
      <w:r>
        <w:rPr>
          <w:rFonts w:hint="eastAsia" w:ascii="仿宋" w:hAnsi="仿宋" w:eastAsia="仿宋" w:cs="仿宋"/>
          <w:kern w:val="0"/>
          <w:sz w:val="28"/>
          <w:szCs w:val="28"/>
          <w:highlight w:val="none"/>
        </w:rPr>
        <w:t>重整计划草案由甲方编制。</w:t>
      </w:r>
      <w:bookmarkStart w:id="1" w:name="_Hlk119800932"/>
      <w:r>
        <w:rPr>
          <w:rFonts w:hint="eastAsia" w:ascii="仿宋" w:hAnsi="仿宋" w:eastAsia="仿宋" w:cs="仿宋"/>
          <w:kern w:val="0"/>
          <w:sz w:val="28"/>
          <w:szCs w:val="28"/>
          <w:highlight w:val="none"/>
        </w:rPr>
        <w:t>在甲方</w:t>
      </w:r>
      <w:r>
        <w:rPr>
          <w:rFonts w:hint="eastAsia" w:ascii="仿宋" w:hAnsi="仿宋" w:eastAsia="仿宋" w:cs="仿宋"/>
          <w:spacing w:val="8"/>
          <w:kern w:val="0"/>
          <w:sz w:val="28"/>
          <w:szCs w:val="28"/>
          <w:highlight w:val="none"/>
        </w:rPr>
        <w:t>发出《重整投资人资格确认书》后的10个工作日内，</w:t>
      </w:r>
      <w:r>
        <w:rPr>
          <w:rFonts w:hint="eastAsia" w:ascii="仿宋" w:hAnsi="仿宋" w:eastAsia="仿宋" w:cs="仿宋"/>
          <w:color w:val="222222"/>
          <w:spacing w:val="8"/>
          <w:kern w:val="0"/>
          <w:sz w:val="28"/>
          <w:szCs w:val="28"/>
          <w:highlight w:val="none"/>
        </w:rPr>
        <w:t>乙方结合南洋学校的实际情况向甲方提交如下资料：</w:t>
      </w:r>
    </w:p>
    <w:bookmarkEnd w:id="0"/>
    <w:bookmarkEnd w:id="1"/>
    <w:p>
      <w:pPr>
        <w:widowControl/>
        <w:shd w:val="clear" w:color="auto" w:fill="FFFFFF"/>
        <w:spacing w:line="360" w:lineRule="auto"/>
        <w:ind w:firstLine="592" w:firstLineChars="200"/>
        <w:rPr>
          <w:rFonts w:hint="eastAsia" w:ascii="仿宋" w:hAnsi="仿宋" w:eastAsia="仿宋" w:cs="仿宋"/>
          <w:color w:val="222222"/>
          <w:spacing w:val="8"/>
          <w:kern w:val="0"/>
          <w:sz w:val="28"/>
          <w:szCs w:val="28"/>
          <w:highlight w:val="none"/>
        </w:rPr>
      </w:pPr>
      <w:r>
        <w:rPr>
          <w:rFonts w:hint="eastAsia" w:ascii="仿宋" w:hAnsi="仿宋" w:eastAsia="仿宋" w:cs="仿宋"/>
          <w:color w:val="222222"/>
          <w:spacing w:val="8"/>
          <w:kern w:val="0"/>
          <w:sz w:val="28"/>
          <w:szCs w:val="28"/>
          <w:highlight w:val="none"/>
        </w:rPr>
        <w:t>1、基本情况介绍</w:t>
      </w:r>
    </w:p>
    <w:p>
      <w:pPr>
        <w:widowControl/>
        <w:shd w:val="clear" w:color="auto" w:fill="FFFFFF"/>
        <w:spacing w:line="360" w:lineRule="auto"/>
        <w:ind w:firstLine="592" w:firstLineChars="200"/>
        <w:rPr>
          <w:rFonts w:hint="eastAsia" w:ascii="仿宋" w:hAnsi="仿宋" w:eastAsia="仿宋" w:cs="仿宋"/>
          <w:color w:val="222222"/>
          <w:spacing w:val="8"/>
          <w:kern w:val="0"/>
          <w:sz w:val="28"/>
          <w:szCs w:val="28"/>
          <w:highlight w:val="none"/>
        </w:rPr>
      </w:pPr>
      <w:r>
        <w:rPr>
          <w:rFonts w:hint="eastAsia" w:ascii="仿宋" w:hAnsi="仿宋" w:eastAsia="仿宋" w:cs="仿宋"/>
          <w:color w:val="222222"/>
          <w:spacing w:val="8"/>
          <w:kern w:val="0"/>
          <w:sz w:val="28"/>
          <w:szCs w:val="28"/>
          <w:highlight w:val="none"/>
        </w:rPr>
        <w:t>重整投资人基本情况介绍（包括且不限于：</w:t>
      </w:r>
      <w:r>
        <w:rPr>
          <w:rFonts w:hint="eastAsia" w:ascii="仿宋" w:hAnsi="仿宋" w:eastAsia="仿宋" w:cs="仿宋"/>
          <w:sz w:val="28"/>
          <w:szCs w:val="28"/>
          <w:highlight w:val="none"/>
        </w:rPr>
        <w:t>重整投资人设立时间、注册资本、股权结构、控股股东及实际控制人等基本情况；主要业务（业绩）、优势等</w:t>
      </w:r>
      <w:r>
        <w:rPr>
          <w:rFonts w:hint="eastAsia" w:ascii="仿宋" w:hAnsi="仿宋" w:eastAsia="仿宋" w:cs="仿宋"/>
          <w:color w:val="222222"/>
          <w:spacing w:val="8"/>
          <w:kern w:val="0"/>
          <w:sz w:val="28"/>
          <w:szCs w:val="28"/>
          <w:highlight w:val="none"/>
        </w:rPr>
        <w:t>），</w:t>
      </w:r>
      <w:r>
        <w:rPr>
          <w:rFonts w:hint="eastAsia" w:ascii="仿宋" w:hAnsi="仿宋" w:eastAsia="仿宋" w:cs="仿宋"/>
          <w:spacing w:val="8"/>
          <w:kern w:val="0"/>
          <w:sz w:val="28"/>
          <w:szCs w:val="28"/>
          <w:highlight w:val="none"/>
        </w:rPr>
        <w:t>如为联合体报名的，需说明联合体中各成员的分工、权利义务等</w:t>
      </w:r>
      <w:r>
        <w:rPr>
          <w:rFonts w:hint="eastAsia" w:ascii="仿宋" w:hAnsi="仿宋" w:eastAsia="仿宋" w:cs="仿宋"/>
          <w:color w:val="222222"/>
          <w:spacing w:val="8"/>
          <w:kern w:val="0"/>
          <w:sz w:val="28"/>
          <w:szCs w:val="28"/>
          <w:highlight w:val="none"/>
        </w:rPr>
        <w:t>；办学理念、办学方案及后续对南洋学校升级改造计划（如有）；南洋学校维持稳定的方案；编制重整计划草案时需由重整投资人提供的其他资料或说明。上述资料及说明的有关内容，将作为重整计划草案的组成内容。</w:t>
      </w:r>
    </w:p>
    <w:p>
      <w:pPr>
        <w:widowControl/>
        <w:shd w:val="clear" w:color="auto" w:fill="FFFFFF"/>
        <w:spacing w:line="360" w:lineRule="auto"/>
        <w:ind w:firstLine="592" w:firstLineChars="200"/>
        <w:rPr>
          <w:rFonts w:hint="eastAsia" w:ascii="仿宋" w:hAnsi="仿宋" w:eastAsia="仿宋" w:cs="仿宋"/>
          <w:color w:val="222222"/>
          <w:spacing w:val="8"/>
          <w:kern w:val="0"/>
          <w:sz w:val="28"/>
          <w:szCs w:val="28"/>
          <w:highlight w:val="none"/>
        </w:rPr>
      </w:pPr>
      <w:r>
        <w:rPr>
          <w:rFonts w:hint="eastAsia" w:ascii="仿宋" w:hAnsi="仿宋" w:eastAsia="仿宋" w:cs="仿宋"/>
          <w:color w:val="222222"/>
          <w:spacing w:val="8"/>
          <w:kern w:val="0"/>
          <w:sz w:val="28"/>
          <w:szCs w:val="28"/>
          <w:highlight w:val="none"/>
        </w:rPr>
        <w:t>2、主体资格有关的材料，具体如下：</w:t>
      </w:r>
    </w:p>
    <w:tbl>
      <w:tblPr>
        <w:tblStyle w:val="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57"/>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widowControl/>
              <w:suppressAutoHyphens/>
              <w:spacing w:line="400" w:lineRule="atLeas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3257" w:type="dxa"/>
            <w:vAlign w:val="center"/>
          </w:tcPr>
          <w:p>
            <w:pPr>
              <w:widowControl/>
              <w:suppressAutoHyphens/>
              <w:spacing w:line="400" w:lineRule="atLeas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名称</w:t>
            </w:r>
          </w:p>
        </w:tc>
        <w:tc>
          <w:tcPr>
            <w:tcW w:w="4584" w:type="dxa"/>
            <w:vAlign w:val="center"/>
          </w:tcPr>
          <w:p>
            <w:pPr>
              <w:widowControl/>
              <w:suppressAutoHyphens/>
              <w:spacing w:line="400" w:lineRule="atLeas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blHeader/>
        </w:trPr>
        <w:tc>
          <w:tcPr>
            <w:tcW w:w="675" w:type="dxa"/>
            <w:vMerge w:val="restart"/>
            <w:vAlign w:val="center"/>
          </w:tcPr>
          <w:p>
            <w:pPr>
              <w:widowControl/>
              <w:suppressAutoHyphens/>
              <w:spacing w:line="4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3257" w:type="dxa"/>
            <w:vMerge w:val="restart"/>
            <w:vAlign w:val="center"/>
          </w:tcPr>
          <w:p>
            <w:pPr>
              <w:widowControl/>
              <w:suppressAutoHyphens/>
              <w:spacing w:line="4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主体资格证明资料</w:t>
            </w:r>
          </w:p>
        </w:tc>
        <w:tc>
          <w:tcPr>
            <w:tcW w:w="4584" w:type="dxa"/>
            <w:vAlign w:val="center"/>
          </w:tcPr>
          <w:p>
            <w:pPr>
              <w:suppressAutoHyphens/>
              <w:spacing w:line="400" w:lineRule="atLeast"/>
              <w:rPr>
                <w:rFonts w:hint="eastAsia" w:ascii="仿宋" w:hAnsi="仿宋" w:eastAsia="仿宋" w:cs="仿宋"/>
                <w:sz w:val="28"/>
                <w:szCs w:val="28"/>
                <w:highlight w:val="none"/>
              </w:rPr>
            </w:pPr>
            <w:r>
              <w:rPr>
                <w:rFonts w:hint="eastAsia" w:ascii="仿宋" w:hAnsi="仿宋" w:eastAsia="仿宋" w:cs="仿宋"/>
                <w:sz w:val="28"/>
                <w:szCs w:val="28"/>
                <w:highlight w:val="none"/>
                <w:lang w:val="zh-TW" w:eastAsia="zh-TW"/>
              </w:rPr>
              <w:t>法人登记证</w:t>
            </w:r>
            <w:r>
              <w:rPr>
                <w:rFonts w:hint="eastAsia" w:ascii="仿宋" w:hAnsi="仿宋" w:eastAsia="仿宋" w:cs="仿宋"/>
                <w:sz w:val="28"/>
                <w:szCs w:val="28"/>
                <w:highlight w:val="none"/>
                <w:lang w:val="zh-TW"/>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675" w:type="dxa"/>
            <w:vMerge w:val="continue"/>
            <w:vAlign w:val="center"/>
          </w:tcPr>
          <w:p>
            <w:pPr>
              <w:widowControl/>
              <w:suppressAutoHyphens/>
              <w:spacing w:line="400" w:lineRule="atLeast"/>
              <w:jc w:val="center"/>
              <w:rPr>
                <w:rFonts w:hint="eastAsia" w:ascii="仿宋" w:hAnsi="仿宋" w:eastAsia="仿宋" w:cs="仿宋"/>
                <w:sz w:val="28"/>
                <w:szCs w:val="28"/>
                <w:highlight w:val="none"/>
              </w:rPr>
            </w:pPr>
          </w:p>
        </w:tc>
        <w:tc>
          <w:tcPr>
            <w:tcW w:w="3257" w:type="dxa"/>
            <w:vMerge w:val="continue"/>
            <w:vAlign w:val="center"/>
          </w:tcPr>
          <w:p>
            <w:pPr>
              <w:widowControl/>
              <w:suppressAutoHyphens/>
              <w:spacing w:line="400" w:lineRule="atLeast"/>
              <w:rPr>
                <w:rFonts w:hint="eastAsia" w:ascii="仿宋" w:hAnsi="仿宋" w:eastAsia="仿宋" w:cs="仿宋"/>
                <w:sz w:val="28"/>
                <w:szCs w:val="28"/>
                <w:highlight w:val="none"/>
              </w:rPr>
            </w:pPr>
          </w:p>
        </w:tc>
        <w:tc>
          <w:tcPr>
            <w:tcW w:w="4584" w:type="dxa"/>
            <w:vAlign w:val="center"/>
          </w:tcPr>
          <w:p>
            <w:pPr>
              <w:widowControl/>
              <w:suppressAutoHyphens/>
              <w:spacing w:line="400" w:lineRule="atLeast"/>
              <w:rPr>
                <w:rFonts w:hint="eastAsia" w:ascii="仿宋" w:hAnsi="仿宋" w:eastAsia="仿宋" w:cs="仿宋"/>
                <w:sz w:val="28"/>
                <w:szCs w:val="28"/>
                <w:highlight w:val="none"/>
                <w:lang w:val="zh-TW" w:eastAsia="zh-TW"/>
              </w:rPr>
            </w:pPr>
            <w:r>
              <w:rPr>
                <w:rFonts w:hint="eastAsia" w:ascii="仿宋" w:hAnsi="仿宋" w:eastAsia="仿宋" w:cs="仿宋"/>
                <w:sz w:val="28"/>
                <w:szCs w:val="28"/>
                <w:highlight w:val="none"/>
                <w:lang w:val="zh-TW" w:eastAsia="zh-TW"/>
              </w:rPr>
              <w:t>法定代表人身份证明书（原件）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blHeader/>
        </w:trPr>
        <w:tc>
          <w:tcPr>
            <w:tcW w:w="675" w:type="dxa"/>
            <w:vMerge w:val="continue"/>
            <w:vAlign w:val="center"/>
          </w:tcPr>
          <w:p>
            <w:pPr>
              <w:widowControl/>
              <w:suppressAutoHyphens/>
              <w:spacing w:line="400" w:lineRule="atLeast"/>
              <w:jc w:val="center"/>
              <w:rPr>
                <w:rFonts w:hint="eastAsia" w:ascii="仿宋" w:hAnsi="仿宋" w:eastAsia="仿宋" w:cs="仿宋"/>
                <w:sz w:val="28"/>
                <w:szCs w:val="28"/>
                <w:highlight w:val="none"/>
              </w:rPr>
            </w:pPr>
          </w:p>
        </w:tc>
        <w:tc>
          <w:tcPr>
            <w:tcW w:w="3257" w:type="dxa"/>
            <w:vMerge w:val="continue"/>
            <w:vAlign w:val="center"/>
          </w:tcPr>
          <w:p>
            <w:pPr>
              <w:widowControl/>
              <w:suppressAutoHyphens/>
              <w:spacing w:line="400" w:lineRule="atLeast"/>
              <w:rPr>
                <w:rFonts w:hint="eastAsia" w:ascii="仿宋" w:hAnsi="仿宋" w:eastAsia="仿宋" w:cs="仿宋"/>
                <w:sz w:val="28"/>
                <w:szCs w:val="28"/>
                <w:highlight w:val="none"/>
              </w:rPr>
            </w:pPr>
          </w:p>
        </w:tc>
        <w:tc>
          <w:tcPr>
            <w:tcW w:w="4584" w:type="dxa"/>
            <w:vAlign w:val="center"/>
          </w:tcPr>
          <w:p>
            <w:pPr>
              <w:widowControl/>
              <w:suppressAutoHyphens/>
              <w:spacing w:line="400" w:lineRule="atLeast"/>
              <w:rPr>
                <w:rFonts w:hint="eastAsia" w:ascii="仿宋" w:hAnsi="仿宋" w:eastAsia="仿宋" w:cs="仿宋"/>
                <w:sz w:val="28"/>
                <w:szCs w:val="28"/>
                <w:highlight w:val="none"/>
                <w:lang w:val="zh-TW" w:eastAsia="zh-TW"/>
              </w:rPr>
            </w:pPr>
            <w:r>
              <w:rPr>
                <w:rFonts w:hint="eastAsia" w:ascii="仿宋" w:hAnsi="仿宋" w:eastAsia="仿宋" w:cs="仿宋"/>
                <w:sz w:val="28"/>
                <w:szCs w:val="28"/>
                <w:highlight w:val="none"/>
                <w:lang w:val="zh-TW" w:eastAsia="zh-TW"/>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blHeader/>
        </w:trPr>
        <w:tc>
          <w:tcPr>
            <w:tcW w:w="675" w:type="dxa"/>
            <w:vMerge w:val="continue"/>
            <w:vAlign w:val="center"/>
          </w:tcPr>
          <w:p>
            <w:pPr>
              <w:widowControl/>
              <w:suppressAutoHyphens/>
              <w:spacing w:line="400" w:lineRule="atLeast"/>
              <w:jc w:val="center"/>
              <w:rPr>
                <w:rFonts w:hint="eastAsia" w:ascii="仿宋" w:hAnsi="仿宋" w:eastAsia="仿宋" w:cs="仿宋"/>
                <w:sz w:val="28"/>
                <w:szCs w:val="28"/>
                <w:highlight w:val="none"/>
              </w:rPr>
            </w:pPr>
          </w:p>
        </w:tc>
        <w:tc>
          <w:tcPr>
            <w:tcW w:w="3257" w:type="dxa"/>
            <w:vMerge w:val="continue"/>
            <w:vAlign w:val="center"/>
          </w:tcPr>
          <w:p>
            <w:pPr>
              <w:widowControl/>
              <w:suppressAutoHyphens/>
              <w:spacing w:line="400" w:lineRule="atLeast"/>
              <w:rPr>
                <w:rFonts w:hint="eastAsia" w:ascii="仿宋" w:hAnsi="仿宋" w:eastAsia="仿宋" w:cs="仿宋"/>
                <w:sz w:val="28"/>
                <w:szCs w:val="28"/>
                <w:highlight w:val="none"/>
              </w:rPr>
            </w:pPr>
          </w:p>
        </w:tc>
        <w:tc>
          <w:tcPr>
            <w:tcW w:w="4584" w:type="dxa"/>
            <w:vAlign w:val="center"/>
          </w:tcPr>
          <w:p>
            <w:pPr>
              <w:widowControl/>
              <w:suppressAutoHyphens/>
              <w:spacing w:line="400" w:lineRule="atLeast"/>
              <w:rPr>
                <w:rFonts w:hint="eastAsia" w:ascii="仿宋" w:hAnsi="仿宋" w:eastAsia="仿宋" w:cs="仿宋"/>
                <w:sz w:val="28"/>
                <w:szCs w:val="28"/>
                <w:highlight w:val="none"/>
                <w:lang w:val="zh-TW" w:eastAsia="zh-TW"/>
              </w:rPr>
            </w:pPr>
            <w:r>
              <w:rPr>
                <w:rFonts w:hint="eastAsia" w:ascii="仿宋" w:hAnsi="仿宋" w:eastAsia="仿宋" w:cs="仿宋"/>
                <w:b/>
                <w:bCs/>
                <w:sz w:val="28"/>
                <w:szCs w:val="28"/>
                <w:highlight w:val="none"/>
              </w:rPr>
              <w:t>备注</w:t>
            </w:r>
            <w:r>
              <w:rPr>
                <w:rFonts w:hint="eastAsia" w:ascii="仿宋" w:hAnsi="仿宋" w:eastAsia="仿宋" w:cs="仿宋"/>
                <w:sz w:val="28"/>
                <w:szCs w:val="28"/>
                <w:highlight w:val="none"/>
              </w:rPr>
              <w:t>：以上资料均须</w:t>
            </w:r>
            <w:r>
              <w:rPr>
                <w:rFonts w:hint="eastAsia" w:ascii="仿宋" w:hAnsi="仿宋" w:eastAsia="仿宋" w:cs="仿宋"/>
                <w:sz w:val="28"/>
                <w:szCs w:val="28"/>
                <w:highlight w:val="none"/>
                <w:lang w:val="zh-TW" w:eastAsia="zh-TW"/>
              </w:rPr>
              <w:t>加盖公章，提交材料时需携带法人登记证</w:t>
            </w:r>
            <w:r>
              <w:rPr>
                <w:rFonts w:hint="eastAsia" w:ascii="仿宋" w:hAnsi="仿宋" w:eastAsia="仿宋" w:cs="仿宋"/>
                <w:sz w:val="28"/>
                <w:szCs w:val="28"/>
                <w:highlight w:val="none"/>
                <w:lang w:val="zh-TW"/>
              </w:rPr>
              <w:t>/营业执照</w:t>
            </w:r>
            <w:r>
              <w:rPr>
                <w:rFonts w:hint="eastAsia" w:ascii="仿宋" w:hAnsi="仿宋" w:eastAsia="仿宋" w:cs="仿宋"/>
                <w:sz w:val="28"/>
                <w:szCs w:val="28"/>
                <w:highlight w:val="none"/>
                <w:lang w:val="zh-TW" w:eastAsia="zh-TW"/>
              </w:rPr>
              <w:t>副本原件</w:t>
            </w:r>
            <w:r>
              <w:rPr>
                <w:rFonts w:hint="eastAsia" w:ascii="仿宋" w:hAnsi="仿宋" w:eastAsia="仿宋" w:cs="仿宋"/>
                <w:sz w:val="28"/>
                <w:szCs w:val="28"/>
                <w:highlight w:val="none"/>
              </w:rPr>
              <w:t>与法定代表人身份证原件供</w:t>
            </w:r>
            <w:r>
              <w:rPr>
                <w:rFonts w:hint="eastAsia" w:ascii="仿宋" w:hAnsi="仿宋" w:eastAsia="仿宋" w:cs="仿宋"/>
                <w:sz w:val="28"/>
                <w:szCs w:val="28"/>
                <w:highlight w:val="none"/>
                <w:lang w:val="zh-TW" w:eastAsia="zh-TW"/>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widowControl/>
              <w:suppressAutoHyphens/>
              <w:spacing w:line="4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3257" w:type="dxa"/>
            <w:vAlign w:val="center"/>
          </w:tcPr>
          <w:p>
            <w:pPr>
              <w:widowControl/>
              <w:suppressAutoHyphens/>
              <w:spacing w:line="400" w:lineRule="atLeast"/>
              <w:rPr>
                <w:rFonts w:hint="eastAsia" w:ascii="仿宋" w:hAnsi="仿宋" w:eastAsia="仿宋" w:cs="仿宋"/>
                <w:sz w:val="28"/>
                <w:szCs w:val="28"/>
                <w:highlight w:val="none"/>
              </w:rPr>
            </w:pPr>
            <w:r>
              <w:rPr>
                <w:rFonts w:hint="eastAsia" w:ascii="仿宋" w:hAnsi="仿宋" w:eastAsia="仿宋" w:cs="仿宋"/>
                <w:sz w:val="28"/>
                <w:szCs w:val="28"/>
                <w:highlight w:val="none"/>
                <w:lang w:val="zh-TW" w:eastAsia="zh-TW"/>
              </w:rPr>
              <w:t>授权书及受托人身份证复印件</w:t>
            </w:r>
          </w:p>
        </w:tc>
        <w:tc>
          <w:tcPr>
            <w:tcW w:w="4584" w:type="dxa"/>
            <w:vAlign w:val="center"/>
          </w:tcPr>
          <w:p>
            <w:pPr>
              <w:widowControl/>
              <w:suppressAutoHyphens/>
              <w:spacing w:line="40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委托他人办理时适用。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widowControl/>
              <w:suppressAutoHyphens/>
              <w:spacing w:line="4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3257" w:type="dxa"/>
            <w:vAlign w:val="center"/>
          </w:tcPr>
          <w:p>
            <w:pPr>
              <w:widowControl/>
              <w:suppressAutoHyphens/>
              <w:spacing w:line="400" w:lineRule="atLeast"/>
              <w:rPr>
                <w:rFonts w:hint="eastAsia" w:ascii="仿宋" w:hAnsi="仿宋" w:eastAsia="仿宋" w:cs="仿宋"/>
                <w:sz w:val="28"/>
                <w:szCs w:val="28"/>
                <w:highlight w:val="none"/>
                <w:lang w:val="zh-TW" w:eastAsia="zh-TW"/>
              </w:rPr>
            </w:pPr>
            <w:r>
              <w:rPr>
                <w:rFonts w:hint="eastAsia" w:ascii="仿宋" w:hAnsi="仿宋" w:eastAsia="仿宋" w:cs="仿宋"/>
                <w:sz w:val="28"/>
                <w:szCs w:val="28"/>
                <w:highlight w:val="none"/>
                <w:lang w:val="zh-TW" w:eastAsia="zh-TW"/>
              </w:rPr>
              <w:t>最高权利机构决议</w:t>
            </w:r>
          </w:p>
        </w:tc>
        <w:tc>
          <w:tcPr>
            <w:tcW w:w="4584" w:type="dxa"/>
            <w:vAlign w:val="center"/>
          </w:tcPr>
          <w:p>
            <w:pPr>
              <w:widowControl/>
              <w:suppressAutoHyphens/>
              <w:spacing w:line="40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widowControl/>
              <w:suppressAutoHyphens/>
              <w:spacing w:line="4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3257" w:type="dxa"/>
            <w:vAlign w:val="center"/>
          </w:tcPr>
          <w:p>
            <w:pPr>
              <w:widowControl/>
              <w:suppressAutoHyphens/>
              <w:spacing w:line="400" w:lineRule="atLeast"/>
              <w:rPr>
                <w:rFonts w:hint="eastAsia" w:ascii="仿宋" w:hAnsi="仿宋" w:eastAsia="仿宋" w:cs="仿宋"/>
                <w:sz w:val="28"/>
                <w:szCs w:val="28"/>
                <w:highlight w:val="none"/>
                <w:lang w:val="zh-TW" w:eastAsia="zh-TW"/>
              </w:rPr>
            </w:pPr>
            <w:r>
              <w:rPr>
                <w:rFonts w:hint="eastAsia" w:ascii="仿宋" w:hAnsi="仿宋" w:eastAsia="仿宋" w:cs="仿宋"/>
                <w:sz w:val="28"/>
                <w:szCs w:val="28"/>
                <w:highlight w:val="none"/>
                <w:lang w:val="zh-TW" w:eastAsia="zh-TW"/>
              </w:rPr>
              <w:t>章程</w:t>
            </w:r>
          </w:p>
        </w:tc>
        <w:tc>
          <w:tcPr>
            <w:tcW w:w="4584" w:type="dxa"/>
            <w:vAlign w:val="center"/>
          </w:tcPr>
          <w:p>
            <w:pPr>
              <w:widowControl/>
              <w:suppressAutoHyphens/>
              <w:spacing w:line="40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现行有效章程复印件，加盖公章。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widowControl/>
              <w:suppressAutoHyphens/>
              <w:spacing w:line="4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3257" w:type="dxa"/>
            <w:vAlign w:val="center"/>
          </w:tcPr>
          <w:p>
            <w:pPr>
              <w:widowControl/>
              <w:suppressAutoHyphens/>
              <w:spacing w:line="40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控股股东及实际控制人情况材料</w:t>
            </w:r>
          </w:p>
        </w:tc>
        <w:tc>
          <w:tcPr>
            <w:tcW w:w="4584" w:type="dxa"/>
            <w:vAlign w:val="center"/>
          </w:tcPr>
          <w:p>
            <w:pPr>
              <w:widowControl/>
              <w:suppressAutoHyphens/>
              <w:spacing w:line="40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控股股东及实际控制人的法人登记证/营业执及章程（为非自然人时适用），或；身份证（为自然人时适用）。复印件并加盖报名单位公章。</w:t>
            </w:r>
          </w:p>
        </w:tc>
      </w:tr>
    </w:tbl>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（二）甲方在征求乙方、南洋学校及出资人、主要债权人等利益各方意见，并听取人民法院指导意见的基础上编制重整计划草案，并在具备条件时提请债权人会议表决。</w:t>
      </w:r>
    </w:p>
    <w:p>
      <w:pPr>
        <w:spacing w:line="360" w:lineRule="auto"/>
        <w:ind w:firstLine="56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提请债权人会议表决的重整计划草案需由乙方事先书面确认。如重整计划草案没有加重乙方根据本协议以及招募公告、竞价公告中规定的乙方责任和义务的，乙方不得拒绝确认。</w:t>
      </w:r>
    </w:p>
    <w:p>
      <w:pPr>
        <w:spacing w:line="360" w:lineRule="auto"/>
        <w:ind w:firstLine="560"/>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六、过渡期安排</w:t>
      </w:r>
    </w:p>
    <w:p>
      <w:pPr>
        <w:spacing w:line="360" w:lineRule="auto"/>
        <w:ind w:firstLine="56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自乙方收到由南洋学校管理人发出的《重整投资人资格确认书》之日起截至人民法院裁定批准重整计划之日的期间，为过渡期。在过渡期内：</w:t>
      </w:r>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经乙方提出、债权人委员会同意且由管理人向人民法院报备后，由管理人行使的对南洋学校自行管理财产和营业事务的监督管理职责，管理人可委托/部分委托乙方行使，或同意由乙方协助管理人监督南洋学校自行管理财产和营业事务，或</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w:t>
      </w:r>
    </w:p>
    <w:p>
      <w:pPr>
        <w:spacing w:line="360" w:lineRule="auto"/>
        <w:ind w:firstLine="6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终止南洋学校自行管理财产和营业事务的行为或事由发生或出现，并依法终止的，在经债权人委员会同意并向人民法院报备后，可由乙方协助管理人或由管理人委托乙方负责管理南洋学校的财产和营业事务。</w:t>
      </w:r>
    </w:p>
    <w:p>
      <w:pPr>
        <w:spacing w:line="360" w:lineRule="auto"/>
        <w:ind w:firstLine="6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（三）过渡期内，南洋学校的费用开支原则上继续按照经债权人委员会批准的总体资金预算执行。如果南洋学校的资金不足以支付过渡期内需发生的费用开支的，乙方有义务提供1000</w:t>
      </w:r>
      <w:r>
        <w:rPr>
          <w:rFonts w:hint="eastAsia" w:ascii="仿宋" w:hAnsi="仿宋" w:eastAsia="仿宋" w:cs="仿宋"/>
          <w:kern w:val="0"/>
          <w:sz w:val="28"/>
          <w:szCs w:val="28"/>
          <w:highlight w:val="none"/>
        </w:rPr>
        <w:t>万元额度为限的临时性周转资金弥补缺口。乙方提供的临时性周转资金以南洋学校将来的办学收入偿还，如借款超过三个月尚未归还的，乙方可主张按照年利率百分之十为标准确定借款利息。</w:t>
      </w:r>
    </w:p>
    <w:p>
      <w:pPr>
        <w:spacing w:line="360" w:lineRule="auto"/>
        <w:ind w:firstLine="6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如乙方向南洋学校提供的临时性周转资金为赠予/捐助性质的，则由乙方自主决定该些资金的用途且不受南洋学校总体资金预算的约束。</w:t>
      </w:r>
    </w:p>
    <w:p>
      <w:pPr>
        <w:spacing w:line="360" w:lineRule="auto"/>
        <w:ind w:firstLine="6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为确保南洋学校在其举办者/投资者/股东变更期间继续保持稳定，在过渡期内，南洋学校在职教职人员原则上维持现状，确需调整的，由乙方向管理人提出并陈述确需变更的理由等情况说明后，由管理人提请债权人委员会批准并报备人民法院后执行。</w:t>
      </w:r>
    </w:p>
    <w:p>
      <w:pPr>
        <w:spacing w:line="360" w:lineRule="auto"/>
        <w:ind w:firstLine="600"/>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七、其他</w:t>
      </w:r>
    </w:p>
    <w:p>
      <w:pPr>
        <w:spacing w:line="360" w:lineRule="auto"/>
        <w:ind w:firstLine="6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招募公告、竞价公告有关条款及内容应作为本协议的组成部分，本协议有关条款及内容，与招募公告或/和竞价公告有关条款及内容有冲突的，效力优先顺序为：（1）招募公告；（2）竞价公告；（3）本协议。本协议与招募公告或/和竞价公告不冲突的条款及内容，以及；招募公告或/和竞价公告没有约定的，以本协议约定为准。</w:t>
      </w:r>
    </w:p>
    <w:p>
      <w:pPr>
        <w:spacing w:line="360" w:lineRule="auto"/>
        <w:ind w:firstLine="6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（二）乙方违反/不履行招募公告或/和竞价公告中有关意向重整投资人、重整投资人的责任、义务条款及内容的，属于违约行为，并根据招募公告或/和竞价公告规定及本协议约定承担相应的责任。</w:t>
      </w:r>
    </w:p>
    <w:p>
      <w:pPr>
        <w:spacing w:line="360" w:lineRule="auto"/>
        <w:ind w:firstLine="6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各方确认，人民法院裁定批准重整计划时截止，南洋学校结余的货币资金余额，由管理人用于向全体债权人分配/追加分配；人民法院批准重整计划后，南洋学校取得的全部收入，由南洋学校留存并用于办学开支。</w:t>
      </w:r>
    </w:p>
    <w:p>
      <w:pPr>
        <w:spacing w:line="360" w:lineRule="auto"/>
        <w:ind w:firstLine="6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（四）人民法院裁定批准重整计划后，乙方根据本协议需履行的责任、义务、声明与承诺，根据本协议约定或重整计划规定需在重整计划执行期间内履行或维持的，在重整计划执行期间内继续有效。</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（五）如各方发生争议的，任何一方均可向人民法院提起诉讼解决。</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本协议（草案）有关条款或内容需要修改或调整的，如修改或调整仅系格式、行文规范、笔误等需要，或仅系单方面增加乙方的责任、义务且乙方同意的，相关调整或修改后的条款/文本经由管理人向债权人委员会报备后可随时签署并生效；如需要修改或调整的内容涉及到减轻乙方的责任、义务的，甲方应根据《企业破产法》规定提请债权人会议或债权人委员会批准，如依照法律规定还应提请人民法院批准的，由管理人提请人民法院批准。</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（本页以下无正文）</w:t>
      </w:r>
    </w:p>
    <w:p>
      <w:pPr>
        <w:spacing w:line="360" w:lineRule="auto"/>
        <w:rPr>
          <w:rFonts w:hint="eastAsia" w:ascii="仿宋" w:hAnsi="仿宋" w:eastAsia="仿宋" w:cs="仿宋"/>
          <w:sz w:val="28"/>
          <w:szCs w:val="28"/>
          <w:highlight w:val="none"/>
        </w:rPr>
      </w:pP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 广州南洋</w:t>
      </w:r>
      <w:r>
        <w:rPr>
          <w:rFonts w:hint="eastAsia" w:ascii="仿宋" w:hAnsi="仿宋" w:eastAsia="仿宋" w:cs="仿宋"/>
          <w:sz w:val="28"/>
          <w:szCs w:val="28"/>
          <w:highlight w:val="none"/>
          <w:lang w:val="en-US" w:eastAsia="zh-CN"/>
        </w:rPr>
        <w:t>英文</w:t>
      </w:r>
      <w:r>
        <w:rPr>
          <w:rFonts w:hint="eastAsia" w:ascii="仿宋" w:hAnsi="仿宋" w:eastAsia="仿宋" w:cs="仿宋"/>
          <w:sz w:val="28"/>
          <w:szCs w:val="28"/>
          <w:highlight w:val="none"/>
        </w:rPr>
        <w:t>学校管理人</w:t>
      </w:r>
    </w:p>
    <w:p>
      <w:pPr>
        <w:spacing w:line="360" w:lineRule="auto"/>
        <w:ind w:firstLine="560" w:firstLineChars="200"/>
        <w:rPr>
          <w:rFonts w:hint="eastAsia" w:ascii="仿宋" w:hAnsi="仿宋" w:eastAsia="仿宋" w:cs="仿宋"/>
          <w:sz w:val="28"/>
          <w:szCs w:val="28"/>
          <w:highlight w:val="none"/>
        </w:rPr>
      </w:pP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负责人：</w:t>
      </w:r>
    </w:p>
    <w:p>
      <w:pPr>
        <w:spacing w:line="360" w:lineRule="auto"/>
        <w:ind w:firstLine="560" w:firstLineChars="200"/>
        <w:rPr>
          <w:rFonts w:hint="eastAsia" w:ascii="仿宋" w:hAnsi="仿宋" w:eastAsia="仿宋" w:cs="仿宋"/>
          <w:sz w:val="28"/>
          <w:szCs w:val="28"/>
          <w:highlight w:val="none"/>
        </w:rPr>
      </w:pP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乙方： </w:t>
      </w:r>
    </w:p>
    <w:p>
      <w:pPr>
        <w:spacing w:line="360" w:lineRule="auto"/>
        <w:ind w:firstLine="560" w:firstLineChars="200"/>
        <w:rPr>
          <w:rFonts w:hint="eastAsia" w:ascii="仿宋" w:hAnsi="仿宋" w:eastAsia="仿宋" w:cs="仿宋"/>
          <w:sz w:val="28"/>
          <w:szCs w:val="28"/>
          <w:highlight w:val="none"/>
        </w:rPr>
      </w:pP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法定（授权）代表：</w:t>
      </w:r>
    </w:p>
    <w:p>
      <w:pPr>
        <w:spacing w:line="360" w:lineRule="auto"/>
        <w:ind w:firstLine="560" w:firstLineChars="200"/>
        <w:rPr>
          <w:rFonts w:hint="eastAsia" w:ascii="仿宋" w:hAnsi="仿宋" w:eastAsia="仿宋" w:cs="仿宋"/>
          <w:sz w:val="28"/>
          <w:szCs w:val="28"/>
          <w:highlight w:val="none"/>
        </w:rPr>
      </w:pPr>
    </w:p>
    <w:p>
      <w:pPr>
        <w:spacing w:line="360" w:lineRule="auto"/>
        <w:ind w:firstLine="560" w:firstLineChars="200"/>
        <w:rPr>
          <w:rFonts w:ascii="仿宋" w:hAnsi="仿宋" w:eastAsia="仿宋"/>
          <w:sz w:val="28"/>
          <w:szCs w:val="28"/>
          <w:highlight w:val="none"/>
        </w:rPr>
      </w:pPr>
    </w:p>
    <w:p>
      <w:pPr>
        <w:spacing w:line="360" w:lineRule="auto"/>
        <w:ind w:firstLine="560" w:firstLineChars="200"/>
        <w:rPr>
          <w:rFonts w:ascii="仿宋" w:hAnsi="仿宋" w:eastAsia="仿宋"/>
          <w:sz w:val="28"/>
          <w:szCs w:val="28"/>
          <w:highlight w:val="none"/>
        </w:rPr>
      </w:pPr>
    </w:p>
    <w:p>
      <w:pPr>
        <w:spacing w:line="360" w:lineRule="auto"/>
        <w:ind w:firstLine="560" w:firstLineChars="200"/>
        <w:rPr>
          <w:rFonts w:ascii="仿宋" w:hAnsi="仿宋" w:eastAsia="仿宋"/>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wM2JmZTZjYmQ0MzMxZDMyZDlhZjEyMWE2NGQ5YzcifQ=="/>
  </w:docVars>
  <w:rsids>
    <w:rsidRoot w:val="00AD0DF1"/>
    <w:rsid w:val="00037D25"/>
    <w:rsid w:val="00040CE7"/>
    <w:rsid w:val="000441F0"/>
    <w:rsid w:val="00075F69"/>
    <w:rsid w:val="00111C11"/>
    <w:rsid w:val="00164350"/>
    <w:rsid w:val="0022341B"/>
    <w:rsid w:val="00250239"/>
    <w:rsid w:val="00272F3C"/>
    <w:rsid w:val="002F378D"/>
    <w:rsid w:val="003356E6"/>
    <w:rsid w:val="003372EB"/>
    <w:rsid w:val="004028A2"/>
    <w:rsid w:val="00412440"/>
    <w:rsid w:val="00412DD2"/>
    <w:rsid w:val="00466ABC"/>
    <w:rsid w:val="004820A1"/>
    <w:rsid w:val="004A5B33"/>
    <w:rsid w:val="004D0919"/>
    <w:rsid w:val="00645EFF"/>
    <w:rsid w:val="00716E16"/>
    <w:rsid w:val="00717453"/>
    <w:rsid w:val="007367EB"/>
    <w:rsid w:val="007703C7"/>
    <w:rsid w:val="007B6677"/>
    <w:rsid w:val="007C35BD"/>
    <w:rsid w:val="007C4B76"/>
    <w:rsid w:val="00831410"/>
    <w:rsid w:val="00836FAC"/>
    <w:rsid w:val="008B6CAA"/>
    <w:rsid w:val="0094726F"/>
    <w:rsid w:val="00960F7A"/>
    <w:rsid w:val="00A13CF2"/>
    <w:rsid w:val="00A35FD2"/>
    <w:rsid w:val="00AD0DF1"/>
    <w:rsid w:val="00B0412D"/>
    <w:rsid w:val="00B273F2"/>
    <w:rsid w:val="00B33243"/>
    <w:rsid w:val="00B5453E"/>
    <w:rsid w:val="00C32722"/>
    <w:rsid w:val="00C35FC5"/>
    <w:rsid w:val="00C417AB"/>
    <w:rsid w:val="00C8728D"/>
    <w:rsid w:val="00D309F3"/>
    <w:rsid w:val="00D34881"/>
    <w:rsid w:val="00D353B8"/>
    <w:rsid w:val="00D45B96"/>
    <w:rsid w:val="00E272F8"/>
    <w:rsid w:val="00E57941"/>
    <w:rsid w:val="00E600BF"/>
    <w:rsid w:val="00E62888"/>
    <w:rsid w:val="00E64F72"/>
    <w:rsid w:val="00F11CA6"/>
    <w:rsid w:val="00F1397C"/>
    <w:rsid w:val="00F27967"/>
    <w:rsid w:val="00F92742"/>
    <w:rsid w:val="00FA1BBE"/>
    <w:rsid w:val="0CAD17FC"/>
    <w:rsid w:val="18996199"/>
    <w:rsid w:val="22AF3F3C"/>
    <w:rsid w:val="30BE1F06"/>
    <w:rsid w:val="3CBE6404"/>
    <w:rsid w:val="60B54579"/>
    <w:rsid w:val="74F16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3364</Words>
  <Characters>3384</Characters>
  <Lines>25</Lines>
  <Paragraphs>7</Paragraphs>
  <TotalTime>642</TotalTime>
  <ScaleCrop>false</ScaleCrop>
  <LinksUpToDate>false</LinksUpToDate>
  <CharactersWithSpaces>3393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2022-11-19T05:57:00Z</dcterms:created>
  <dc:creator>lb@gblaw.com.cn</dc:creator>
  <cp:lastModifiedBy>谢辉</cp:lastModifiedBy>
  <cp:lastPrinted>2022-11-22T03:07:24Z</cp:lastPrinted>
  <dcterms:modified xsi:type="dcterms:W3CDTF">2022-11-22T03:19:17Z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103ED5BC71C74CD4AF8466E73A36EA76</vt:lpwstr>
  </property>
</Properties>
</file>